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FDEF" w14:textId="77777777" w:rsidR="00861F1B" w:rsidRDefault="00861F1B" w:rsidP="00210075">
      <w:pPr>
        <w:spacing w:before="100" w:beforeAutospacing="1" w:after="100" w:afterAutospacing="1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Informacja prasowa</w:t>
      </w:r>
    </w:p>
    <w:p w14:paraId="0FD4B65C" w14:textId="4799E84D" w:rsidR="00861F1B" w:rsidRDefault="00861F1B" w:rsidP="00210075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Warszawa, </w:t>
      </w:r>
      <w:r w:rsidR="001F197F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>.</w:t>
      </w:r>
      <w:r w:rsidR="006305FE">
        <w:rPr>
          <w:b/>
          <w:sz w:val="20"/>
          <w:szCs w:val="20"/>
        </w:rPr>
        <w:t>1</w:t>
      </w:r>
      <w:r w:rsidR="008469DB">
        <w:rPr>
          <w:b/>
          <w:sz w:val="20"/>
          <w:szCs w:val="20"/>
        </w:rPr>
        <w:t>2</w:t>
      </w:r>
      <w:r w:rsidR="0023280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202</w:t>
      </w:r>
      <w:r w:rsidR="0023280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</w:t>
      </w:r>
    </w:p>
    <w:p w14:paraId="6E64968D" w14:textId="77777777" w:rsidR="00861F1B" w:rsidRDefault="00861F1B" w:rsidP="00210075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</w:p>
    <w:p w14:paraId="1362321A" w14:textId="746BF6D6" w:rsidR="00EE43E2" w:rsidRDefault="00D94AAB" w:rsidP="00210075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  <w:r w:rsidRPr="00D94AAB">
        <w:rPr>
          <w:rFonts w:cs="Calibri"/>
          <w:b/>
          <w:bCs/>
          <w:sz w:val="28"/>
          <w:szCs w:val="28"/>
        </w:rPr>
        <w:t>Mocny złoty wyzwaniem dla polskich eksporterów</w:t>
      </w:r>
    </w:p>
    <w:p w14:paraId="782A1BE2" w14:textId="77777777" w:rsidR="004D5877" w:rsidRDefault="004D5877" w:rsidP="00210075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</w:p>
    <w:p w14:paraId="00C1612A" w14:textId="3D214308" w:rsidR="004D5877" w:rsidRDefault="004D5877" w:rsidP="004D5877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 w:rsidRPr="004D5877">
        <w:rPr>
          <w:rFonts w:cs="Calibri"/>
          <w:b/>
          <w:bCs/>
          <w:sz w:val="24"/>
          <w:szCs w:val="24"/>
        </w:rPr>
        <w:t xml:space="preserve">Ożywienie na krajowym rynku w połączeniu ze spowolnieniem gospodarek strefy euro i umacniającym się złotym stanowi wyzwanie dla polskich eksporterów, rozliczających faktury w europejskiej walucie. Przedsiębiorcy muszą dostosować się do zmiennych kursów walut oraz fluktuacji w płynności </w:t>
      </w:r>
      <w:r w:rsidRPr="002E2AD1">
        <w:rPr>
          <w:rFonts w:cs="Calibri"/>
          <w:b/>
          <w:bCs/>
          <w:sz w:val="24"/>
          <w:szCs w:val="24"/>
        </w:rPr>
        <w:t xml:space="preserve">finansowej. </w:t>
      </w:r>
      <w:r w:rsidR="002E2AD1">
        <w:rPr>
          <w:rFonts w:cs="Calibri"/>
          <w:b/>
          <w:bCs/>
          <w:sz w:val="24"/>
          <w:szCs w:val="24"/>
        </w:rPr>
        <w:t xml:space="preserve">W tym celu naturalne </w:t>
      </w:r>
      <w:r w:rsidRPr="004D5877">
        <w:rPr>
          <w:rFonts w:cs="Calibri"/>
          <w:b/>
          <w:bCs/>
          <w:sz w:val="24"/>
          <w:szCs w:val="24"/>
        </w:rPr>
        <w:t xml:space="preserve">jest poszukiwanie rozwiązań, które pozwolą im zachować stabilność finansową i chronić marże, szczególnie przy odroczonych terminach płatności, </w:t>
      </w:r>
      <w:r w:rsidR="002E2AD1">
        <w:rPr>
          <w:rFonts w:cs="Calibri"/>
          <w:b/>
          <w:bCs/>
          <w:sz w:val="24"/>
          <w:szCs w:val="24"/>
        </w:rPr>
        <w:t xml:space="preserve">będących codziennością </w:t>
      </w:r>
      <w:r w:rsidRPr="004D5877">
        <w:rPr>
          <w:rFonts w:cs="Calibri"/>
          <w:b/>
          <w:bCs/>
          <w:sz w:val="24"/>
          <w:szCs w:val="24"/>
        </w:rPr>
        <w:t>w międzynarodowym handlu.</w:t>
      </w:r>
    </w:p>
    <w:p w14:paraId="076AD0C7" w14:textId="77777777" w:rsidR="004D5877" w:rsidRDefault="004D5877" w:rsidP="004D5877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</w:p>
    <w:p w14:paraId="28F2EACA" w14:textId="10E81952" w:rsidR="004D5877" w:rsidRDefault="004D5877" w:rsidP="004D587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4D5877">
        <w:rPr>
          <w:rFonts w:cs="Calibri"/>
          <w:sz w:val="24"/>
          <w:szCs w:val="24"/>
        </w:rPr>
        <w:t xml:space="preserve">Ryzyko związane z transakcjami eksportowymi obejmuje nie tylko utratę marży na skutek niekorzystnych zmian kursów, ale także opóźnienia w płatnościach i związane z tym wyzwania płynnościowe. W sytuacji rosnącej inflacji i zmienności na rynkach finansowych, firmy coraz częściej </w:t>
      </w:r>
      <w:r w:rsidR="002E2AD1">
        <w:rPr>
          <w:rFonts w:cs="Calibri"/>
          <w:sz w:val="24"/>
          <w:szCs w:val="24"/>
        </w:rPr>
        <w:t xml:space="preserve">muszą mierzyć się w wydłużaniem </w:t>
      </w:r>
      <w:r w:rsidRPr="002E2AD1">
        <w:rPr>
          <w:rFonts w:cs="Calibri"/>
          <w:sz w:val="24"/>
          <w:szCs w:val="24"/>
        </w:rPr>
        <w:t xml:space="preserve"> terminów płatności</w:t>
      </w:r>
      <w:r w:rsidRPr="004D5877">
        <w:rPr>
          <w:rFonts w:cs="Calibri"/>
          <w:sz w:val="24"/>
          <w:szCs w:val="24"/>
        </w:rPr>
        <w:t xml:space="preserve"> przez kontrahentów z krajów strefy euro, którzy sami odczuwają presję ekonomiczną w swoich gospodarkach. Takie warunki sprawiają, że polscy eksporterzy muszą szukać rozwiązań finansowych, które pozwolą im zminimalizować ryzyko i zapewnić stabilny przepływ gotówki.</w:t>
      </w:r>
    </w:p>
    <w:p w14:paraId="24D55893" w14:textId="77777777" w:rsidR="004D5877" w:rsidRDefault="004D5877" w:rsidP="004D587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006B1879" w14:textId="24706761" w:rsidR="004D5877" w:rsidRDefault="004D5877" w:rsidP="004D587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E2AD1">
        <w:rPr>
          <w:i/>
          <w:iCs/>
          <w:sz w:val="24"/>
          <w:szCs w:val="24"/>
        </w:rPr>
        <w:t>Ryzyka są istotne – od opóźnień w płatnościach, po utratę marży przy transakcjach o odroczonych terminach płatności. Rozwiązaniem jest finansowanie faktur w walucie, w której zostały wystawione, co także obniża koszt tej usługi do ok. 0,5-1% wartości transakcji. BNP Paribas Faktoring jest największym faktorem strefy euro</w:t>
      </w:r>
      <w:r w:rsidR="002E2AD1">
        <w:rPr>
          <w:i/>
          <w:iCs/>
          <w:sz w:val="24"/>
          <w:szCs w:val="24"/>
        </w:rPr>
        <w:t xml:space="preserve"> </w:t>
      </w:r>
      <w:r w:rsidR="001F197F">
        <w:rPr>
          <w:i/>
          <w:iCs/>
          <w:sz w:val="24"/>
          <w:szCs w:val="24"/>
        </w:rPr>
        <w:t>–</w:t>
      </w:r>
      <w:r w:rsidR="002E2AD1">
        <w:rPr>
          <w:i/>
          <w:iCs/>
          <w:sz w:val="24"/>
          <w:szCs w:val="24"/>
        </w:rPr>
        <w:t xml:space="preserve"> jesteśmy obecni na 14 rynkach Unii Europejskiej, na których to możemy zaproponować obsługę polskich eksporterów. Ponadto, BNP Paribas jest marką znaną globalnie, </w:t>
      </w:r>
      <w:r w:rsidRPr="002E2AD1">
        <w:rPr>
          <w:i/>
          <w:iCs/>
          <w:sz w:val="24"/>
          <w:szCs w:val="24"/>
        </w:rPr>
        <w:t xml:space="preserve"> co ma znaczenie w </w:t>
      </w:r>
      <w:r w:rsidR="002E2AD1">
        <w:rPr>
          <w:i/>
          <w:iCs/>
          <w:sz w:val="24"/>
          <w:szCs w:val="24"/>
        </w:rPr>
        <w:t xml:space="preserve">nawiązaniu i </w:t>
      </w:r>
      <w:r w:rsidRPr="002E2AD1">
        <w:rPr>
          <w:i/>
          <w:iCs/>
          <w:sz w:val="24"/>
          <w:szCs w:val="24"/>
        </w:rPr>
        <w:t>utrzymaniu właściwych relacji z ich kontrahentami. Dzięki współpracy z aż trzema firmami ubezpieczeniowymi, możemy skuteczniej uzyskać limit przejęcia ryzyka dla danego kontrahenta</w:t>
      </w:r>
      <w:r w:rsidR="002E2AD1">
        <w:rPr>
          <w:i/>
          <w:iCs/>
          <w:sz w:val="24"/>
          <w:szCs w:val="24"/>
        </w:rPr>
        <w:t xml:space="preserve"> zagranicznego</w:t>
      </w:r>
      <w:r w:rsidRPr="002E2AD1">
        <w:rPr>
          <w:i/>
          <w:iCs/>
          <w:sz w:val="24"/>
          <w:szCs w:val="24"/>
        </w:rPr>
        <w:t xml:space="preserve"> </w:t>
      </w:r>
      <w:r w:rsidRPr="002E2AD1">
        <w:rPr>
          <w:sz w:val="24"/>
          <w:szCs w:val="24"/>
        </w:rPr>
        <w:t xml:space="preserve">– mówi </w:t>
      </w:r>
      <w:r w:rsidRPr="002E2AD1">
        <w:rPr>
          <w:b/>
          <w:bCs/>
          <w:sz w:val="24"/>
          <w:szCs w:val="24"/>
        </w:rPr>
        <w:t>Mariusz</w:t>
      </w:r>
      <w:r w:rsidRPr="00E67859">
        <w:rPr>
          <w:b/>
          <w:bCs/>
          <w:sz w:val="24"/>
          <w:szCs w:val="24"/>
        </w:rPr>
        <w:t xml:space="preserve"> Łukasiewicz, prezes zarządu BNP Paribas Faktoring.</w:t>
      </w:r>
      <w:r w:rsidRPr="00E6785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14:paraId="30C955FD" w14:textId="77777777" w:rsidR="004D5877" w:rsidRDefault="004D5877" w:rsidP="004D587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5F7E6CA8" w14:textId="41617BCE" w:rsidR="004D5877" w:rsidRDefault="004D5877" w:rsidP="004D587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4D5877">
        <w:rPr>
          <w:sz w:val="24"/>
          <w:szCs w:val="24"/>
        </w:rPr>
        <w:t xml:space="preserve">Spowolnienie gospodarcze w strefie euro ma swoje korzenie nie tylko w czynnikach ekonomicznych, ale również geopolitycznych. Konflikt zbrojny na Ukrainie, kryzys energetyczny oraz zmiany regulacyjne związane z Zielonym Ładem, który wymusza transformację energetyczną, wpływają na gospodarki krajów zachodnioeuropejskich. W związku z tym wiele firm w Europie stoi przed wyzwaniem dostosowania swoich strategii finansowych i biznesowych do rosnących kosztów energii, surowców </w:t>
      </w:r>
      <w:r w:rsidR="00BC137F">
        <w:rPr>
          <w:sz w:val="24"/>
          <w:szCs w:val="24"/>
        </w:rPr>
        <w:t>oraz</w:t>
      </w:r>
      <w:r w:rsidRPr="004D5877">
        <w:rPr>
          <w:sz w:val="24"/>
          <w:szCs w:val="24"/>
        </w:rPr>
        <w:t xml:space="preserve"> transportu. Taka sytuacja może powodować, że zagraniczni kontrahenci będą coraz bardziej ostrożni w </w:t>
      </w:r>
      <w:r w:rsidRPr="004D5877">
        <w:rPr>
          <w:sz w:val="24"/>
          <w:szCs w:val="24"/>
        </w:rPr>
        <w:lastRenderedPageBreak/>
        <w:t>realizacji płatności na czas, co może bezpośrednio wpłynąć na sytuację finansową polskich eksporterów.</w:t>
      </w:r>
    </w:p>
    <w:p w14:paraId="201C57EC" w14:textId="77777777" w:rsidR="004D5877" w:rsidRDefault="004D5877" w:rsidP="004D587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29FC803F" w14:textId="740E5347" w:rsidR="004D5877" w:rsidRPr="00E67859" w:rsidRDefault="004D5877" w:rsidP="004D587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4D5877">
        <w:rPr>
          <w:sz w:val="24"/>
          <w:szCs w:val="24"/>
        </w:rPr>
        <w:t xml:space="preserve">Faktoring nie tylko wspiera płynność finansową, ale również znacząco wpływa na poprawę cash flow przedsiębiorstwa. Dzięki szybkiej zamianie faktur na gotówkę, </w:t>
      </w:r>
      <w:r w:rsidR="00BC137F">
        <w:rPr>
          <w:sz w:val="24"/>
          <w:szCs w:val="24"/>
        </w:rPr>
        <w:t>firmy</w:t>
      </w:r>
      <w:r w:rsidRPr="004D5877">
        <w:rPr>
          <w:sz w:val="24"/>
          <w:szCs w:val="24"/>
        </w:rPr>
        <w:t xml:space="preserve"> mogą elastyczniej reagować na zmieniające się potrzeby rynku. W kontekście polskiego </w:t>
      </w:r>
      <w:r>
        <w:rPr>
          <w:sz w:val="24"/>
          <w:szCs w:val="24"/>
        </w:rPr>
        <w:t>sektora</w:t>
      </w:r>
      <w:r w:rsidRPr="004D5877">
        <w:rPr>
          <w:sz w:val="24"/>
          <w:szCs w:val="24"/>
        </w:rPr>
        <w:t xml:space="preserve"> eksportowego, który wciąż rośnie, szczególnie w </w:t>
      </w:r>
      <w:r w:rsidR="00BC137F">
        <w:rPr>
          <w:sz w:val="24"/>
          <w:szCs w:val="24"/>
        </w:rPr>
        <w:t>obszarach</w:t>
      </w:r>
      <w:r w:rsidRPr="004D5877">
        <w:rPr>
          <w:sz w:val="24"/>
          <w:szCs w:val="24"/>
        </w:rPr>
        <w:t xml:space="preserve"> takich jak przemysł spożywczy, meblarski czy produkcja maszyn, zapewnienie stałego dostępu do kapitału obrotowego staje się kluczowe. Faktoring stanowi więc istotne wsparcie dla firm, które chcą zwiększać swoje moce produkcyjne i zdobywać nowe rynki zagraniczne, nie rezygnując jednocześnie z finansowej stabilności.</w:t>
      </w:r>
    </w:p>
    <w:p w14:paraId="343A5875" w14:textId="77777777" w:rsidR="00153076" w:rsidRPr="00DF7DE1" w:rsidRDefault="00153076" w:rsidP="0021007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9C016DC" w14:textId="77777777" w:rsidR="007C430C" w:rsidRPr="007C430C" w:rsidRDefault="007C430C" w:rsidP="00210075">
      <w:pPr>
        <w:spacing w:before="100" w:beforeAutospacing="1" w:after="100" w:afterAutospacing="1"/>
        <w:contextualSpacing/>
        <w:jc w:val="center"/>
      </w:pPr>
      <w:r w:rsidRPr="007C430C">
        <w:t>***</w:t>
      </w:r>
    </w:p>
    <w:p w14:paraId="7939A69F" w14:textId="77777777" w:rsidR="007C430C" w:rsidRPr="007C430C" w:rsidRDefault="007C430C" w:rsidP="00210075">
      <w:pPr>
        <w:spacing w:before="100" w:beforeAutospacing="1" w:after="100" w:afterAutospacing="1"/>
        <w:contextualSpacing/>
        <w:jc w:val="both"/>
      </w:pPr>
      <w:r w:rsidRPr="007C430C">
        <w:rPr>
          <w:b/>
          <w:sz w:val="20"/>
        </w:rPr>
        <w:t>BNP Paribas Faktoring Sp. z o.o.</w:t>
      </w:r>
      <w:r w:rsidRPr="007C430C">
        <w:rPr>
          <w:sz w:val="20"/>
        </w:rPr>
        <w:t xml:space="preserve"> jest spółką faktoringową, należącą do Grupy BNP Paribas Factoring, lidera na międzynarodowym rynku faktoringu</w:t>
      </w:r>
      <w:r w:rsidR="00BF7B67">
        <w:rPr>
          <w:sz w:val="20"/>
        </w:rPr>
        <w:t xml:space="preserve"> z</w:t>
      </w:r>
      <w:r w:rsidRPr="007C430C">
        <w:rPr>
          <w:sz w:val="20"/>
        </w:rPr>
        <w:t xml:space="preserve"> 50-letnim doświadczeniem oraz siecią spółek funkcjonujących w </w:t>
      </w:r>
      <w:r w:rsidRPr="00C82989">
        <w:rPr>
          <w:sz w:val="20"/>
        </w:rPr>
        <w:t>17 krajach Europy, Azji i Afryki.</w:t>
      </w:r>
    </w:p>
    <w:p w14:paraId="33BA2483" w14:textId="77777777" w:rsidR="007C430C" w:rsidRDefault="007C430C" w:rsidP="0021007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07178E15" w14:textId="77777777" w:rsidR="007C430C" w:rsidRDefault="007C430C" w:rsidP="00210075">
      <w:pPr>
        <w:spacing w:before="100" w:beforeAutospacing="1" w:after="100" w:afterAutospacing="1"/>
        <w:contextualSpacing/>
        <w:jc w:val="both"/>
        <w:rPr>
          <w:sz w:val="20"/>
        </w:rPr>
      </w:pPr>
      <w:r w:rsidRPr="007C430C">
        <w:rPr>
          <w:sz w:val="20"/>
        </w:rPr>
        <w:t>BNP Paribas Faktoring w Polsce działa od 2006 roku i jest jedną z najszybciej rozwijających się firm faktoringowych na</w:t>
      </w:r>
      <w:r>
        <w:rPr>
          <w:sz w:val="20"/>
        </w:rPr>
        <w:t xml:space="preserve"> rynku, zajmując czołowe miejsca w rankingach</w:t>
      </w:r>
      <w:r w:rsidRPr="007C430C">
        <w:rPr>
          <w:sz w:val="20"/>
        </w:rPr>
        <w:t xml:space="preserve"> firm faktoringowych</w:t>
      </w:r>
      <w:r>
        <w:rPr>
          <w:sz w:val="20"/>
        </w:rPr>
        <w:t>, publikowanych</w:t>
      </w:r>
      <w:r w:rsidRPr="007C430C">
        <w:rPr>
          <w:sz w:val="20"/>
        </w:rPr>
        <w:t xml:space="preserve"> przez Polski Związek Faktorów. Swoją ofertę kieruje do małych, średnich i dużych przedsiębiorstw produkcyjnych, handlowych, usługowych oraz rolno</w:t>
      </w:r>
      <w:r>
        <w:rPr>
          <w:sz w:val="20"/>
        </w:rPr>
        <w:t>-</w:t>
      </w:r>
      <w:r w:rsidRPr="007C430C">
        <w:rPr>
          <w:sz w:val="20"/>
        </w:rPr>
        <w:t>spożywczych, prowadzących sprzedaż z odroczonym terminem płatności. Korzystając z doświadczeń światowej grupy, spółka oferuje rozwiązania również dla międzynarodowych grup kapitałowych, których celem jest jednolite podejście do faktoringu we wszystkich podmiotach. Oferta spółki dostępna jest</w:t>
      </w:r>
      <w:r>
        <w:rPr>
          <w:sz w:val="20"/>
        </w:rPr>
        <w:t xml:space="preserve"> także</w:t>
      </w:r>
      <w:r w:rsidRPr="007C430C">
        <w:rPr>
          <w:sz w:val="20"/>
        </w:rPr>
        <w:t xml:space="preserve"> w oddziałach BNP Paribas Bank Polska S.A. na terenie całego kraju.</w:t>
      </w:r>
      <w:r w:rsidR="00051D9D">
        <w:rPr>
          <w:sz w:val="20"/>
        </w:rPr>
        <w:t xml:space="preserve"> </w:t>
      </w:r>
    </w:p>
    <w:p w14:paraId="2DB282F6" w14:textId="77777777" w:rsidR="00DE0E30" w:rsidRDefault="00DE0E30" w:rsidP="0021007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3456EE36" w14:textId="77777777" w:rsidR="00DE0E30" w:rsidRDefault="00DE0E30" w:rsidP="00210075">
      <w:pPr>
        <w:spacing w:before="100" w:beforeAutospacing="1" w:after="100" w:afterAutospacing="1"/>
        <w:contextualSpacing/>
        <w:jc w:val="both"/>
        <w:rPr>
          <w:sz w:val="20"/>
        </w:rPr>
      </w:pPr>
      <w:r>
        <w:rPr>
          <w:sz w:val="20"/>
        </w:rPr>
        <w:t xml:space="preserve">Spółka jest członkiem światowych i polskich organizacji, zrzeszających firmy faktoringowe, m.in. </w:t>
      </w:r>
      <w:r>
        <w:rPr>
          <w:b/>
          <w:sz w:val="20"/>
        </w:rPr>
        <w:t>Polskiego Związku</w:t>
      </w:r>
      <w:r w:rsidRPr="00DE0E30">
        <w:rPr>
          <w:b/>
          <w:sz w:val="20"/>
        </w:rPr>
        <w:t xml:space="preserve"> Faktorów i FCI (Facilitating Open Account – Receivables Finance).</w:t>
      </w:r>
      <w:r w:rsidR="00051D9D">
        <w:rPr>
          <w:b/>
          <w:sz w:val="20"/>
        </w:rPr>
        <w:t xml:space="preserve"> </w:t>
      </w:r>
    </w:p>
    <w:p w14:paraId="05FD551A" w14:textId="77777777" w:rsidR="007C430C" w:rsidRDefault="007C430C" w:rsidP="0021007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62B684DC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Więcej informacji:</w:t>
      </w:r>
    </w:p>
    <w:p w14:paraId="0F13D187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b/>
          <w:color w:val="000000"/>
          <w:sz w:val="20"/>
          <w:szCs w:val="20"/>
        </w:rPr>
      </w:pPr>
      <w:hyperlink r:id="rId6" w:history="1">
        <w:r w:rsidRPr="00B9218E">
          <w:rPr>
            <w:rStyle w:val="Hipercze"/>
            <w:b/>
            <w:sz w:val="20"/>
            <w:szCs w:val="20"/>
          </w:rPr>
          <w:t>www.faktoring.bnpparibas.pl</w:t>
        </w:r>
      </w:hyperlink>
      <w:r>
        <w:rPr>
          <w:b/>
          <w:sz w:val="20"/>
          <w:szCs w:val="20"/>
        </w:rPr>
        <w:t xml:space="preserve"> </w:t>
      </w:r>
    </w:p>
    <w:p w14:paraId="0659E736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</w:p>
    <w:p w14:paraId="4207BAD0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Kontakt dla mediów:</w:t>
      </w:r>
    </w:p>
    <w:p w14:paraId="3D96A03E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Bartosz Sosnówka</w:t>
      </w:r>
    </w:p>
    <w:p w14:paraId="568E4CD4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 xml:space="preserve">E: </w:t>
      </w:r>
      <w:hyperlink r:id="rId7">
        <w:r w:rsidRPr="000943E4">
          <w:rPr>
            <w:color w:val="0000FF"/>
            <w:sz w:val="20"/>
            <w:szCs w:val="20"/>
            <w:u w:val="single"/>
          </w:rPr>
          <w:t>bartosz.sosnowka@dwapiar.pl</w:t>
        </w:r>
      </w:hyperlink>
    </w:p>
    <w:p w14:paraId="2C2646D8" w14:textId="77777777" w:rsidR="007C430C" w:rsidRPr="00124090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M: 517 476</w:t>
      </w:r>
      <w:r>
        <w:rPr>
          <w:color w:val="000000"/>
          <w:sz w:val="20"/>
          <w:szCs w:val="20"/>
        </w:rPr>
        <w:t> </w:t>
      </w:r>
      <w:r w:rsidRPr="000943E4">
        <w:rPr>
          <w:color w:val="000000"/>
          <w:sz w:val="20"/>
          <w:szCs w:val="20"/>
        </w:rPr>
        <w:t>361</w:t>
      </w:r>
    </w:p>
    <w:sectPr w:rsidR="007C430C" w:rsidRPr="001240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3290B" w14:textId="77777777" w:rsidR="009060EE" w:rsidRDefault="009060EE" w:rsidP="007C430C">
      <w:pPr>
        <w:spacing w:after="0" w:line="240" w:lineRule="auto"/>
      </w:pPr>
      <w:r>
        <w:separator/>
      </w:r>
    </w:p>
  </w:endnote>
  <w:endnote w:type="continuationSeparator" w:id="0">
    <w:p w14:paraId="3562AE82" w14:textId="77777777" w:rsidR="009060EE" w:rsidRDefault="009060EE" w:rsidP="007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805AA" w14:textId="77777777" w:rsidR="009060EE" w:rsidRDefault="009060EE" w:rsidP="007C430C">
      <w:pPr>
        <w:spacing w:after="0" w:line="240" w:lineRule="auto"/>
      </w:pPr>
      <w:r>
        <w:separator/>
      </w:r>
    </w:p>
  </w:footnote>
  <w:footnote w:type="continuationSeparator" w:id="0">
    <w:p w14:paraId="2B1AB429" w14:textId="77777777" w:rsidR="009060EE" w:rsidRDefault="009060EE" w:rsidP="007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8E8C" w14:textId="77777777" w:rsidR="007C430C" w:rsidRDefault="001D716F" w:rsidP="007C430C">
    <w:pPr>
      <w:pStyle w:val="Nagwek"/>
      <w:jc w:val="center"/>
    </w:pPr>
    <w:r w:rsidRPr="00B4370B">
      <w:rPr>
        <w:noProof/>
        <w:lang w:eastAsia="pl-PL"/>
      </w:rPr>
      <w:drawing>
        <wp:inline distT="0" distB="0" distL="0" distR="0" wp14:anchorId="680EEA29" wp14:editId="1F3A0BE6">
          <wp:extent cx="3611880" cy="10134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0C"/>
    <w:rsid w:val="000112D8"/>
    <w:rsid w:val="00027152"/>
    <w:rsid w:val="00032CB3"/>
    <w:rsid w:val="00051D9D"/>
    <w:rsid w:val="00052D6A"/>
    <w:rsid w:val="0005686E"/>
    <w:rsid w:val="00060453"/>
    <w:rsid w:val="00062187"/>
    <w:rsid w:val="000659DA"/>
    <w:rsid w:val="000B3BB9"/>
    <w:rsid w:val="000B486F"/>
    <w:rsid w:val="000B73EC"/>
    <w:rsid w:val="000E0E4F"/>
    <w:rsid w:val="000E1D5D"/>
    <w:rsid w:val="000E44F0"/>
    <w:rsid w:val="00100274"/>
    <w:rsid w:val="0010191C"/>
    <w:rsid w:val="001021FC"/>
    <w:rsid w:val="00124090"/>
    <w:rsid w:val="00134FEF"/>
    <w:rsid w:val="00141BAD"/>
    <w:rsid w:val="00144540"/>
    <w:rsid w:val="00153076"/>
    <w:rsid w:val="00157CAF"/>
    <w:rsid w:val="00161687"/>
    <w:rsid w:val="001662C7"/>
    <w:rsid w:val="0018583B"/>
    <w:rsid w:val="0019498E"/>
    <w:rsid w:val="001A78B9"/>
    <w:rsid w:val="001D5A11"/>
    <w:rsid w:val="001D6E61"/>
    <w:rsid w:val="001D716F"/>
    <w:rsid w:val="001D76B7"/>
    <w:rsid w:val="001E1C13"/>
    <w:rsid w:val="001E26C3"/>
    <w:rsid w:val="001F197F"/>
    <w:rsid w:val="001F7380"/>
    <w:rsid w:val="002070FE"/>
    <w:rsid w:val="00210075"/>
    <w:rsid w:val="00212B42"/>
    <w:rsid w:val="00216D49"/>
    <w:rsid w:val="0022109C"/>
    <w:rsid w:val="00222A28"/>
    <w:rsid w:val="002231DA"/>
    <w:rsid w:val="00232807"/>
    <w:rsid w:val="00232AE6"/>
    <w:rsid w:val="00234E31"/>
    <w:rsid w:val="00246D81"/>
    <w:rsid w:val="00285523"/>
    <w:rsid w:val="002923D2"/>
    <w:rsid w:val="002938B1"/>
    <w:rsid w:val="002A3F41"/>
    <w:rsid w:val="002B02AD"/>
    <w:rsid w:val="002B10F8"/>
    <w:rsid w:val="002C4837"/>
    <w:rsid w:val="002D4A91"/>
    <w:rsid w:val="002E2AD1"/>
    <w:rsid w:val="00315304"/>
    <w:rsid w:val="00317E41"/>
    <w:rsid w:val="003201AB"/>
    <w:rsid w:val="0032691B"/>
    <w:rsid w:val="00327202"/>
    <w:rsid w:val="00333E89"/>
    <w:rsid w:val="00346382"/>
    <w:rsid w:val="003469BC"/>
    <w:rsid w:val="00352BEF"/>
    <w:rsid w:val="00377188"/>
    <w:rsid w:val="003A48F5"/>
    <w:rsid w:val="003A513F"/>
    <w:rsid w:val="003A610B"/>
    <w:rsid w:val="003B4023"/>
    <w:rsid w:val="003B4B3B"/>
    <w:rsid w:val="003C101F"/>
    <w:rsid w:val="003C74E7"/>
    <w:rsid w:val="003D667F"/>
    <w:rsid w:val="003F56D2"/>
    <w:rsid w:val="004011A4"/>
    <w:rsid w:val="00424D40"/>
    <w:rsid w:val="00432FAD"/>
    <w:rsid w:val="00440852"/>
    <w:rsid w:val="00440995"/>
    <w:rsid w:val="00461A10"/>
    <w:rsid w:val="00462673"/>
    <w:rsid w:val="00463AE2"/>
    <w:rsid w:val="00472753"/>
    <w:rsid w:val="00474837"/>
    <w:rsid w:val="00490797"/>
    <w:rsid w:val="004A784F"/>
    <w:rsid w:val="004B04A1"/>
    <w:rsid w:val="004B126C"/>
    <w:rsid w:val="004D2C3B"/>
    <w:rsid w:val="004D5877"/>
    <w:rsid w:val="004D6519"/>
    <w:rsid w:val="004E0B10"/>
    <w:rsid w:val="004E4F10"/>
    <w:rsid w:val="004F1CB4"/>
    <w:rsid w:val="004F6904"/>
    <w:rsid w:val="00511FA8"/>
    <w:rsid w:val="00512E82"/>
    <w:rsid w:val="005278B2"/>
    <w:rsid w:val="00531496"/>
    <w:rsid w:val="00534301"/>
    <w:rsid w:val="00560E4B"/>
    <w:rsid w:val="005618DA"/>
    <w:rsid w:val="00561AC0"/>
    <w:rsid w:val="005A21F4"/>
    <w:rsid w:val="005A3AA2"/>
    <w:rsid w:val="005D1371"/>
    <w:rsid w:val="005E1329"/>
    <w:rsid w:val="005E48E2"/>
    <w:rsid w:val="005F0000"/>
    <w:rsid w:val="005F50C8"/>
    <w:rsid w:val="00604A56"/>
    <w:rsid w:val="006305FE"/>
    <w:rsid w:val="00634120"/>
    <w:rsid w:val="006502A9"/>
    <w:rsid w:val="0066613A"/>
    <w:rsid w:val="00693D58"/>
    <w:rsid w:val="0069585A"/>
    <w:rsid w:val="006A59B0"/>
    <w:rsid w:val="006A63A2"/>
    <w:rsid w:val="006B730C"/>
    <w:rsid w:val="006C491D"/>
    <w:rsid w:val="006C4AFE"/>
    <w:rsid w:val="006C7CCB"/>
    <w:rsid w:val="006C7E2D"/>
    <w:rsid w:val="006D0730"/>
    <w:rsid w:val="006E0C96"/>
    <w:rsid w:val="006E5C6C"/>
    <w:rsid w:val="006F3078"/>
    <w:rsid w:val="00700A11"/>
    <w:rsid w:val="00713295"/>
    <w:rsid w:val="00730A60"/>
    <w:rsid w:val="007405E4"/>
    <w:rsid w:val="00742610"/>
    <w:rsid w:val="00755CA2"/>
    <w:rsid w:val="00764C2E"/>
    <w:rsid w:val="00772BEE"/>
    <w:rsid w:val="00773091"/>
    <w:rsid w:val="00777026"/>
    <w:rsid w:val="0078721D"/>
    <w:rsid w:val="007A0FDF"/>
    <w:rsid w:val="007A5718"/>
    <w:rsid w:val="007A7ECA"/>
    <w:rsid w:val="007B1149"/>
    <w:rsid w:val="007B1B6D"/>
    <w:rsid w:val="007C0779"/>
    <w:rsid w:val="007C142B"/>
    <w:rsid w:val="007C3B96"/>
    <w:rsid w:val="007C430C"/>
    <w:rsid w:val="007E16B5"/>
    <w:rsid w:val="007E1739"/>
    <w:rsid w:val="008128FC"/>
    <w:rsid w:val="008135A8"/>
    <w:rsid w:val="0081421D"/>
    <w:rsid w:val="00814ECB"/>
    <w:rsid w:val="00844DBA"/>
    <w:rsid w:val="008457E7"/>
    <w:rsid w:val="008469DB"/>
    <w:rsid w:val="00847760"/>
    <w:rsid w:val="00852BAC"/>
    <w:rsid w:val="00861F1B"/>
    <w:rsid w:val="00890B42"/>
    <w:rsid w:val="008B223C"/>
    <w:rsid w:val="008C454C"/>
    <w:rsid w:val="008D1F29"/>
    <w:rsid w:val="008D4A2C"/>
    <w:rsid w:val="008F1CB6"/>
    <w:rsid w:val="00903301"/>
    <w:rsid w:val="0090387E"/>
    <w:rsid w:val="009060EE"/>
    <w:rsid w:val="00915A30"/>
    <w:rsid w:val="00946C7B"/>
    <w:rsid w:val="00975CC8"/>
    <w:rsid w:val="00993314"/>
    <w:rsid w:val="009B1B51"/>
    <w:rsid w:val="009B3E76"/>
    <w:rsid w:val="009C25C5"/>
    <w:rsid w:val="009D2B35"/>
    <w:rsid w:val="009D7209"/>
    <w:rsid w:val="00A07567"/>
    <w:rsid w:val="00A15E5D"/>
    <w:rsid w:val="00A25F28"/>
    <w:rsid w:val="00A50EDD"/>
    <w:rsid w:val="00A7174B"/>
    <w:rsid w:val="00A745DF"/>
    <w:rsid w:val="00A74833"/>
    <w:rsid w:val="00A87C9D"/>
    <w:rsid w:val="00A930A8"/>
    <w:rsid w:val="00AA2DD6"/>
    <w:rsid w:val="00AB3E8E"/>
    <w:rsid w:val="00AC3752"/>
    <w:rsid w:val="00AC753B"/>
    <w:rsid w:val="00AD31BC"/>
    <w:rsid w:val="00AF130F"/>
    <w:rsid w:val="00AF60B7"/>
    <w:rsid w:val="00B0086E"/>
    <w:rsid w:val="00B00E1B"/>
    <w:rsid w:val="00B03CAE"/>
    <w:rsid w:val="00B12F51"/>
    <w:rsid w:val="00B14A06"/>
    <w:rsid w:val="00B43AB5"/>
    <w:rsid w:val="00B5577E"/>
    <w:rsid w:val="00B60FBC"/>
    <w:rsid w:val="00B62536"/>
    <w:rsid w:val="00B865EC"/>
    <w:rsid w:val="00BB3ED3"/>
    <w:rsid w:val="00BC137F"/>
    <w:rsid w:val="00BC4CCD"/>
    <w:rsid w:val="00BC61E1"/>
    <w:rsid w:val="00BE6D57"/>
    <w:rsid w:val="00BF3867"/>
    <w:rsid w:val="00BF6AD9"/>
    <w:rsid w:val="00BF7B67"/>
    <w:rsid w:val="00C010E4"/>
    <w:rsid w:val="00C11CA3"/>
    <w:rsid w:val="00C267ED"/>
    <w:rsid w:val="00C37B53"/>
    <w:rsid w:val="00C46452"/>
    <w:rsid w:val="00C56CCC"/>
    <w:rsid w:val="00C6374C"/>
    <w:rsid w:val="00C75F97"/>
    <w:rsid w:val="00C7722F"/>
    <w:rsid w:val="00C82978"/>
    <w:rsid w:val="00C82989"/>
    <w:rsid w:val="00CE6CF2"/>
    <w:rsid w:val="00CE7194"/>
    <w:rsid w:val="00D016B7"/>
    <w:rsid w:val="00D3635E"/>
    <w:rsid w:val="00D408C6"/>
    <w:rsid w:val="00D5465C"/>
    <w:rsid w:val="00D546EB"/>
    <w:rsid w:val="00D56970"/>
    <w:rsid w:val="00D62162"/>
    <w:rsid w:val="00D738DF"/>
    <w:rsid w:val="00D74176"/>
    <w:rsid w:val="00D77924"/>
    <w:rsid w:val="00D82815"/>
    <w:rsid w:val="00D8426B"/>
    <w:rsid w:val="00D92A36"/>
    <w:rsid w:val="00D93D7A"/>
    <w:rsid w:val="00D94AAB"/>
    <w:rsid w:val="00DC0D87"/>
    <w:rsid w:val="00DC1155"/>
    <w:rsid w:val="00DE0E30"/>
    <w:rsid w:val="00DF7DE1"/>
    <w:rsid w:val="00E01684"/>
    <w:rsid w:val="00E30266"/>
    <w:rsid w:val="00E445D0"/>
    <w:rsid w:val="00E47619"/>
    <w:rsid w:val="00E713F8"/>
    <w:rsid w:val="00E7313C"/>
    <w:rsid w:val="00E84B44"/>
    <w:rsid w:val="00E8554B"/>
    <w:rsid w:val="00EA261D"/>
    <w:rsid w:val="00EB035D"/>
    <w:rsid w:val="00ED2399"/>
    <w:rsid w:val="00EE43E2"/>
    <w:rsid w:val="00EF27D2"/>
    <w:rsid w:val="00EF538D"/>
    <w:rsid w:val="00EF7984"/>
    <w:rsid w:val="00F0114B"/>
    <w:rsid w:val="00F05F8E"/>
    <w:rsid w:val="00F10EFE"/>
    <w:rsid w:val="00F128FE"/>
    <w:rsid w:val="00F30D5E"/>
    <w:rsid w:val="00F509B5"/>
    <w:rsid w:val="00F60007"/>
    <w:rsid w:val="00F659E7"/>
    <w:rsid w:val="00F73130"/>
    <w:rsid w:val="00F76180"/>
    <w:rsid w:val="00FB2596"/>
    <w:rsid w:val="00FD1555"/>
    <w:rsid w:val="00FD637E"/>
    <w:rsid w:val="00FD6D60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E629"/>
  <w15:chartTrackingRefBased/>
  <w15:docId w15:val="{F64E6369-12B6-433F-9E57-5743BAE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3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30C"/>
  </w:style>
  <w:style w:type="paragraph" w:styleId="Stopka">
    <w:name w:val="footer"/>
    <w:basedOn w:val="Normalny"/>
    <w:link w:val="Stopka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30C"/>
  </w:style>
  <w:style w:type="character" w:styleId="Hipercze">
    <w:name w:val="Hyperlink"/>
    <w:uiPriority w:val="99"/>
    <w:unhideWhenUsed/>
    <w:rsid w:val="007C430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D5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A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5A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5A11"/>
    <w:rPr>
      <w:b/>
      <w:bCs/>
      <w:lang w:eastAsia="en-US"/>
    </w:rPr>
  </w:style>
  <w:style w:type="paragraph" w:styleId="Poprawka">
    <w:name w:val="Revision"/>
    <w:hidden/>
    <w:uiPriority w:val="99"/>
    <w:semiHidden/>
    <w:rsid w:val="0053430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A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AE6"/>
    <w:rPr>
      <w:vertAlign w:val="superscript"/>
    </w:rPr>
  </w:style>
  <w:style w:type="character" w:styleId="Uwydatnienie">
    <w:name w:val="Emphasis"/>
    <w:uiPriority w:val="20"/>
    <w:qFormat/>
    <w:rsid w:val="00285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rtosz.sosnowka@dwapia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ktoring.bnpparibas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4670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http://www.faktoring.bnpparibas.pl/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5</cp:revision>
  <dcterms:created xsi:type="dcterms:W3CDTF">2024-12-10T11:29:00Z</dcterms:created>
  <dcterms:modified xsi:type="dcterms:W3CDTF">2024-12-12T09:59:00Z</dcterms:modified>
</cp:coreProperties>
</file>